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024"/>
        <w:gridCol w:w="4829"/>
        <w:gridCol w:w="2212"/>
        <w:gridCol w:w="1867"/>
        <w:gridCol w:w="4238"/>
      </w:tblGrid>
      <w:tr w:rsidR="006C3C1E" w:rsidRPr="00477970" w:rsidTr="00331E89"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6C3C1E" w:rsidP="00331E89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C3C1E" w:rsidRDefault="006C3C1E" w:rsidP="00331E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4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Ineffective management of Non–HRA Council Buildings – Risk Level High</w:t>
            </w:r>
          </w:p>
          <w:p w:rsidR="006C3C1E" w:rsidRPr="00477970" w:rsidRDefault="006C3C1E" w:rsidP="00331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882" w:rsidTr="00331E8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82" w:rsidRDefault="00AA7882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82" w:rsidRDefault="00AA7882" w:rsidP="00AA7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82" w:rsidRDefault="00AA7882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Officer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82" w:rsidRDefault="00AA7882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 Date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82" w:rsidRDefault="00AA7882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Position</w:t>
            </w:r>
          </w:p>
          <w:p w:rsidR="00AA7882" w:rsidRPr="00477970" w:rsidRDefault="00AA7882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1E" w:rsidTr="00331E8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6C3C1E" w:rsidP="00331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introduce an adequately resourced Corporate Landlord Model</w:t>
            </w:r>
          </w:p>
          <w:p w:rsidR="006C3C1E" w:rsidRDefault="006C3C1E" w:rsidP="00331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1E" w:rsidRDefault="00B4535C" w:rsidP="00B45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Philip Colledge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March 2021</w:t>
            </w:r>
          </w:p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C1E" w:rsidRDefault="006C3C1E" w:rsidP="00A81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69" w:rsidRDefault="00823669" w:rsidP="00823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81374">
              <w:rPr>
                <w:rFonts w:ascii="Arial" w:hAnsi="Arial" w:cs="Arial"/>
                <w:sz w:val="24"/>
                <w:szCs w:val="24"/>
              </w:rPr>
              <w:t xml:space="preserve">tatutory compliance is delivered through relevant Heads of Service with the Facilities Management team providing specific advice and procuring corporate service contracts. </w:t>
            </w:r>
            <w:r>
              <w:rPr>
                <w:rFonts w:ascii="Arial" w:hAnsi="Arial" w:cs="Arial"/>
                <w:sz w:val="24"/>
                <w:szCs w:val="24"/>
              </w:rPr>
              <w:t xml:space="preserve">A review of the FM team to introduce a corporate landlord model to centralise all statutory compliance and repairs and maintenance is to be considered. </w:t>
            </w:r>
          </w:p>
          <w:p w:rsidR="00A81374" w:rsidRPr="00A81374" w:rsidRDefault="00A81374" w:rsidP="00823669">
            <w:pPr>
              <w:rPr>
                <w:rFonts w:ascii="Arial" w:hAnsi="Arial" w:cs="Arial"/>
                <w:sz w:val="24"/>
                <w:szCs w:val="24"/>
              </w:rPr>
            </w:pPr>
            <w:r w:rsidRPr="00A81374">
              <w:rPr>
                <w:rFonts w:ascii="Arial" w:hAnsi="Arial" w:cs="Arial"/>
                <w:sz w:val="24"/>
                <w:szCs w:val="24"/>
              </w:rPr>
              <w:t>Revised To 3</w:t>
            </w:r>
            <w:r w:rsidR="00823669">
              <w:rPr>
                <w:rFonts w:ascii="Arial" w:hAnsi="Arial" w:cs="Arial"/>
                <w:sz w:val="24"/>
                <w:szCs w:val="24"/>
              </w:rPr>
              <w:t>1</w:t>
            </w:r>
            <w:r w:rsidRPr="00A81374">
              <w:rPr>
                <w:rFonts w:ascii="Arial" w:hAnsi="Arial" w:cs="Arial"/>
                <w:sz w:val="24"/>
                <w:szCs w:val="24"/>
              </w:rPr>
              <w:t xml:space="preserve"> July 2021</w:t>
            </w:r>
          </w:p>
          <w:p w:rsidR="006C3C1E" w:rsidRDefault="006C3C1E" w:rsidP="00331E89">
            <w:pPr>
              <w:jc w:val="center"/>
            </w:pPr>
          </w:p>
        </w:tc>
      </w:tr>
      <w:tr w:rsidR="006C3C1E" w:rsidTr="00331E8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1E" w:rsidRDefault="006C3C1E" w:rsidP="00331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commission asset condition surveys for high priority properties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1E" w:rsidRDefault="00B4535C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Philip Colledge</w:t>
            </w:r>
          </w:p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April 2021</w:t>
            </w:r>
          </w:p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B004EA" w:rsidP="006368B8">
            <w:r>
              <w:rPr>
                <w:rFonts w:ascii="Arial" w:hAnsi="Arial" w:cs="Arial"/>
                <w:sz w:val="24"/>
                <w:szCs w:val="24"/>
              </w:rPr>
              <w:t xml:space="preserve">Asset condition surveys are required for all properties, but </w:t>
            </w:r>
            <w:r w:rsidRPr="00B004EA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Pr="00B004EA">
              <w:rPr>
                <w:rFonts w:ascii="Arial" w:hAnsi="Arial" w:cs="Arial"/>
                <w:sz w:val="24"/>
                <w:szCs w:val="24"/>
              </w:rPr>
              <w:t xml:space="preserve">-phased approach </w:t>
            </w:r>
            <w:r>
              <w:rPr>
                <w:rFonts w:ascii="Arial" w:hAnsi="Arial" w:cs="Arial"/>
                <w:sz w:val="24"/>
                <w:szCs w:val="24"/>
              </w:rPr>
              <w:t>is proposed with 11No. key assets targeted in 1</w:t>
            </w:r>
            <w:r w:rsidRPr="00B004E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phase. </w:t>
            </w:r>
            <w:r w:rsidR="006368B8">
              <w:rPr>
                <w:rFonts w:ascii="Arial" w:hAnsi="Arial" w:cs="Arial"/>
                <w:sz w:val="24"/>
                <w:szCs w:val="24"/>
              </w:rPr>
              <w:t>A contract for these surveys will be undertaken through the Procurement Team.</w:t>
            </w:r>
          </w:p>
        </w:tc>
      </w:tr>
      <w:tr w:rsidR="006C3C1E" w:rsidTr="00331E8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1E" w:rsidRDefault="006C3C1E" w:rsidP="00331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re-assess and re-programme PPW for high priority properties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1E" w:rsidRDefault="00B4535C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Philip Colledge</w:t>
            </w:r>
          </w:p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June 2021</w:t>
            </w:r>
          </w:p>
          <w:p w:rsidR="006C3C1E" w:rsidRDefault="006C3C1E" w:rsidP="0033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E" w:rsidRDefault="00B004EA" w:rsidP="00B004EA">
            <w:r>
              <w:rPr>
                <w:rFonts w:ascii="Arial" w:hAnsi="Arial" w:cs="Arial"/>
                <w:sz w:val="24"/>
                <w:szCs w:val="24"/>
              </w:rPr>
              <w:t xml:space="preserve">The backlog maintenance works identified from the </w:t>
            </w:r>
            <w:r w:rsidR="006368B8">
              <w:rPr>
                <w:rFonts w:ascii="Arial" w:hAnsi="Arial" w:cs="Arial"/>
                <w:sz w:val="24"/>
                <w:szCs w:val="24"/>
              </w:rPr>
              <w:t xml:space="preserve">above </w:t>
            </w:r>
            <w:r>
              <w:rPr>
                <w:rFonts w:ascii="Arial" w:hAnsi="Arial" w:cs="Arial"/>
                <w:sz w:val="24"/>
                <w:szCs w:val="24"/>
              </w:rPr>
              <w:t xml:space="preserve">asset condition surveys will be prioritised and used to update the PPW programme within the existing General Fund Capital Programme, together with advising of </w:t>
            </w:r>
            <w:r w:rsidR="006368B8">
              <w:rPr>
                <w:rFonts w:ascii="Arial" w:hAnsi="Arial" w:cs="Arial"/>
                <w:sz w:val="24"/>
                <w:szCs w:val="24"/>
              </w:rPr>
              <w:t xml:space="preserve">additional funding requirements in future to </w:t>
            </w:r>
            <w:r w:rsidR="006368B8">
              <w:rPr>
                <w:rFonts w:ascii="Arial" w:hAnsi="Arial" w:cs="Arial"/>
                <w:sz w:val="24"/>
                <w:szCs w:val="24"/>
              </w:rPr>
              <w:lastRenderedPageBreak/>
              <w:t>adequately maintain the Council’s land and buildings.</w:t>
            </w:r>
          </w:p>
        </w:tc>
      </w:tr>
    </w:tbl>
    <w:p w:rsidR="00E974C5" w:rsidRPr="00FB4E13" w:rsidRDefault="00E974C5">
      <w:pPr>
        <w:rPr>
          <w:rFonts w:ascii="Arial" w:hAnsi="Arial" w:cs="Arial"/>
          <w:sz w:val="24"/>
          <w:szCs w:val="24"/>
        </w:rPr>
      </w:pPr>
    </w:p>
    <w:sectPr w:rsidR="00E974C5" w:rsidRPr="00FB4E13" w:rsidSect="006C3C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1E"/>
    <w:rsid w:val="006368B8"/>
    <w:rsid w:val="006C3C1E"/>
    <w:rsid w:val="00823669"/>
    <w:rsid w:val="00A81374"/>
    <w:rsid w:val="00AA7882"/>
    <w:rsid w:val="00B004EA"/>
    <w:rsid w:val="00B4535C"/>
    <w:rsid w:val="00E974C5"/>
    <w:rsid w:val="00F21DB0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2E1D-086B-45F0-A471-E123A104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Pullen</dc:creator>
  <cp:keywords/>
  <dc:description/>
  <cp:lastModifiedBy>Gabriella Wright</cp:lastModifiedBy>
  <cp:revision>2</cp:revision>
  <dcterms:created xsi:type="dcterms:W3CDTF">2021-03-09T16:12:00Z</dcterms:created>
  <dcterms:modified xsi:type="dcterms:W3CDTF">2021-03-09T16:12:00Z</dcterms:modified>
</cp:coreProperties>
</file>